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CF" w:rsidRPr="004F7ACF" w:rsidRDefault="004F7ACF" w:rsidP="004F7ACF">
      <w:pPr>
        <w:widowControl/>
        <w:shd w:val="clear" w:color="auto" w:fill="FFFFFF"/>
        <w:jc w:val="center"/>
        <w:rPr>
          <w:rFonts w:ascii="Verdana" w:eastAsia="宋体" w:hAnsi="Verdana" w:cs="宋体"/>
          <w:color w:val="333333"/>
          <w:kern w:val="0"/>
          <w:sz w:val="20"/>
          <w:szCs w:val="20"/>
        </w:rPr>
      </w:pPr>
      <w:r w:rsidRPr="004F7ACF">
        <w:rPr>
          <w:rFonts w:ascii="黑体" w:eastAsia="黑体" w:hAnsi="黑体" w:cs="宋体" w:hint="eastAsia"/>
          <w:color w:val="333333"/>
          <w:kern w:val="0"/>
          <w:sz w:val="28"/>
          <w:szCs w:val="28"/>
        </w:rPr>
        <w:t>《南京师大学报》（社会科学版）来稿须知</w:t>
      </w:r>
    </w:p>
    <w:p w:rsidR="004F7ACF" w:rsidRPr="004F7ACF" w:rsidRDefault="004F7ACF" w:rsidP="004F7ACF">
      <w:pPr>
        <w:widowControl/>
        <w:jc w:val="left"/>
        <w:rPr>
          <w:rFonts w:ascii="宋体" w:eastAsia="宋体" w:hAnsi="宋体" w:cs="宋体"/>
          <w:kern w:val="0"/>
          <w:sz w:val="24"/>
          <w:szCs w:val="24"/>
        </w:rPr>
      </w:pPr>
      <w:r w:rsidRPr="004F7ACF">
        <w:rPr>
          <w:rFonts w:ascii="宋体" w:eastAsia="宋体" w:hAnsi="宋体" w:cs="宋体" w:hint="eastAsia"/>
          <w:color w:val="333333"/>
          <w:kern w:val="0"/>
          <w:sz w:val="20"/>
          <w:szCs w:val="20"/>
          <w:shd w:val="clear" w:color="auto" w:fill="FFFFFF"/>
        </w:rPr>
        <w:t xml:space="preserve">　　本刊热诚欢迎海内外作者惠赐佳作，并敬请来稿者注意以下事项： </w:t>
      </w:r>
      <w:r w:rsidRPr="004F7ACF">
        <w:rPr>
          <w:rFonts w:ascii="宋体" w:eastAsia="宋体" w:hAnsi="宋体" w:cs="宋体" w:hint="eastAsia"/>
          <w:color w:val="333333"/>
          <w:kern w:val="0"/>
          <w:sz w:val="20"/>
          <w:szCs w:val="20"/>
          <w:shd w:val="clear" w:color="auto" w:fill="FFFFFF"/>
        </w:rPr>
        <w:br/>
        <w:t xml:space="preserve">　　1.为尊重不同学科注释和文献引证的通行惯例，应广大读者和作者的要求，参照国内同类主要学术期刊的规范，本刊从2011年第1 期起，变更参考文献著录方法，采用“著者出版年”（心理学、经济学、管理学等学科）和“页下注”（其他学科）两种著录格式（具体著录要求见下文“文献注释规范”）。 </w:t>
      </w:r>
      <w:r w:rsidRPr="004F7ACF">
        <w:rPr>
          <w:rFonts w:ascii="宋体" w:eastAsia="宋体" w:hAnsi="宋体" w:cs="宋体" w:hint="eastAsia"/>
          <w:color w:val="333333"/>
          <w:kern w:val="0"/>
          <w:sz w:val="20"/>
          <w:szCs w:val="20"/>
          <w:shd w:val="clear" w:color="auto" w:fill="FFFFFF"/>
        </w:rPr>
        <w:br/>
        <w:t xml:space="preserve">　　2.有关论文的摘要、关键词、作者简介等项的书写格式，务请严格参照本刊近期版式；并将题目、作者名、摘要、关键词译成英文。 </w:t>
      </w:r>
      <w:r w:rsidRPr="004F7ACF">
        <w:rPr>
          <w:rFonts w:ascii="宋体" w:eastAsia="宋体" w:hAnsi="宋体" w:cs="宋体" w:hint="eastAsia"/>
          <w:color w:val="333333"/>
          <w:kern w:val="0"/>
          <w:sz w:val="20"/>
          <w:szCs w:val="20"/>
          <w:shd w:val="clear" w:color="auto" w:fill="FFFFFF"/>
        </w:rPr>
        <w:br/>
        <w:t xml:space="preserve">　　3.凡属国家级和省部级科研基金项目的成果，请注明项目名称和编号，同等情况下优先采用。 </w:t>
      </w:r>
      <w:r w:rsidRPr="004F7ACF">
        <w:rPr>
          <w:rFonts w:ascii="宋体" w:eastAsia="宋体" w:hAnsi="宋体" w:cs="宋体" w:hint="eastAsia"/>
          <w:color w:val="333333"/>
          <w:kern w:val="0"/>
          <w:sz w:val="20"/>
          <w:szCs w:val="20"/>
          <w:shd w:val="clear" w:color="auto" w:fill="FFFFFF"/>
        </w:rPr>
        <w:br/>
        <w:t xml:space="preserve">　　4.投稿请发电子邮件附带word文件（供网上审稿用），同时请邮寄纸质文本。请在文末提供作者基本情况，内容包括：学位、工作或学习单位及部门、职称、邮政编码、通讯地址、电话及手机号码、电子信箱。 </w:t>
      </w:r>
      <w:r w:rsidRPr="004F7ACF">
        <w:rPr>
          <w:rFonts w:ascii="宋体" w:eastAsia="宋体" w:hAnsi="宋体" w:cs="宋体" w:hint="eastAsia"/>
          <w:color w:val="333333"/>
          <w:kern w:val="0"/>
          <w:sz w:val="20"/>
          <w:szCs w:val="20"/>
          <w:shd w:val="clear" w:color="auto" w:fill="FFFFFF"/>
        </w:rPr>
        <w:br/>
        <w:t xml:space="preserve">　　5.本刊有关栏目的E-mail地址分别是：哲学、政治学、社会学、经济学、管理学等：yrj988288@163.com；马克思主义理论、法学、历史学等：yrj988288@163.com；教育学、心理学：jiangyonghua@njnu.edu.cn；古代文学、现当代文学等：03388@njnu.edu.cn。 </w:t>
      </w:r>
      <w:r w:rsidRPr="004F7ACF">
        <w:rPr>
          <w:rFonts w:ascii="宋体" w:eastAsia="宋体" w:hAnsi="宋体" w:cs="宋体" w:hint="eastAsia"/>
          <w:color w:val="333333"/>
          <w:kern w:val="0"/>
          <w:sz w:val="20"/>
          <w:szCs w:val="20"/>
          <w:shd w:val="clear" w:color="auto" w:fill="FFFFFF"/>
        </w:rPr>
        <w:br/>
        <w:t xml:space="preserve">　　6.本刊严格执行稿件匿名三审制。稿件凡被采用或需修改后再审，会在３个月内通知作者；如未被采用，恕不奉告评审意见。 </w:t>
      </w:r>
      <w:r w:rsidRPr="004F7ACF">
        <w:rPr>
          <w:rFonts w:ascii="宋体" w:eastAsia="宋体" w:hAnsi="宋体" w:cs="宋体" w:hint="eastAsia"/>
          <w:color w:val="333333"/>
          <w:kern w:val="0"/>
          <w:sz w:val="20"/>
          <w:szCs w:val="20"/>
          <w:shd w:val="clear" w:color="auto" w:fill="FFFFFF"/>
        </w:rPr>
        <w:br/>
        <w:t xml:space="preserve">　　7.本刊已加入《中国学术期刊（光盘版）》、“中国期刊网”和“万方数据—数字化期刊群”，作者著作权使用费与本刊稿酬一次性给付。如不同意将文章编入相关数据库，请在来稿时声明。 </w:t>
      </w:r>
      <w:r w:rsidRPr="004F7ACF">
        <w:rPr>
          <w:rFonts w:ascii="Verdana" w:eastAsia="宋体" w:hAnsi="Verdana" w:cs="宋体"/>
          <w:color w:val="333333"/>
          <w:kern w:val="0"/>
          <w:sz w:val="20"/>
          <w:szCs w:val="20"/>
        </w:rPr>
        <w:br/>
      </w:r>
    </w:p>
    <w:p w:rsidR="004F7ACF" w:rsidRPr="004F7ACF" w:rsidRDefault="004F7ACF" w:rsidP="004F7ACF">
      <w:pPr>
        <w:widowControl/>
        <w:shd w:val="clear" w:color="auto" w:fill="FFFFFF"/>
        <w:jc w:val="center"/>
        <w:rPr>
          <w:rFonts w:ascii="Verdana" w:eastAsia="宋体" w:hAnsi="Verdana" w:cs="宋体"/>
          <w:color w:val="333333"/>
          <w:kern w:val="0"/>
          <w:sz w:val="20"/>
          <w:szCs w:val="20"/>
        </w:rPr>
      </w:pPr>
      <w:r w:rsidRPr="004F7ACF">
        <w:rPr>
          <w:rFonts w:ascii="黑体" w:eastAsia="黑体" w:hAnsi="黑体" w:cs="宋体" w:hint="eastAsia"/>
          <w:color w:val="333333"/>
          <w:kern w:val="0"/>
          <w:sz w:val="28"/>
          <w:szCs w:val="28"/>
        </w:rPr>
        <w:t>《南京师大学报》（社会科学版）文献注释规范</w:t>
      </w:r>
    </w:p>
    <w:p w:rsidR="00B57D52" w:rsidRDefault="004F7ACF" w:rsidP="004F7ACF">
      <w:r w:rsidRPr="004F7ACF">
        <w:rPr>
          <w:rFonts w:ascii="宋体" w:eastAsia="宋体" w:hAnsi="宋体" w:cs="宋体" w:hint="eastAsia"/>
          <w:color w:val="333333"/>
          <w:kern w:val="0"/>
          <w:sz w:val="20"/>
          <w:szCs w:val="20"/>
          <w:shd w:val="clear" w:color="auto" w:fill="FFFFFF"/>
        </w:rPr>
        <w:t>  本刊文献注释实行“一刊两制”，即心理学、经济学、管理学等学科一般实行“著者-出版年体例”（文后参考文献+页下内容性注释），其他学科一般实行“注释体例”（页下资料性注释+页下内容性注释）。 </w:t>
      </w:r>
      <w:r w:rsidRPr="004F7ACF">
        <w:rPr>
          <w:rFonts w:ascii="Verdana" w:eastAsia="宋体" w:hAnsi="Verdana" w:cs="宋体"/>
          <w:color w:val="333333"/>
          <w:kern w:val="0"/>
          <w:sz w:val="20"/>
          <w:szCs w:val="20"/>
        </w:rPr>
        <w:br/>
      </w:r>
      <w:r w:rsidRPr="004F7ACF">
        <w:rPr>
          <w:rFonts w:ascii="Verdana" w:eastAsia="宋体" w:hAnsi="Verdana" w:cs="宋体"/>
          <w:b/>
          <w:bCs/>
          <w:color w:val="333333"/>
          <w:kern w:val="0"/>
          <w:sz w:val="24"/>
          <w:szCs w:val="24"/>
        </w:rPr>
        <w:t>一、注释体例（页下注）</w:t>
      </w:r>
      <w:r w:rsidRPr="004F7ACF">
        <w:rPr>
          <w:rFonts w:ascii="Verdana" w:eastAsia="宋体" w:hAnsi="Verdana" w:cs="宋体"/>
          <w:b/>
          <w:bCs/>
          <w:color w:val="333333"/>
          <w:kern w:val="0"/>
          <w:sz w:val="24"/>
          <w:szCs w:val="24"/>
        </w:rPr>
        <w:t>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注释体例”含“资料性注释”和“内容性注释”，以每页为单元混合连续编号，合一编排。正文内需注释之处依次排注号，释文于当页下部逐条依次编排。注释在正文中的符号①，②，③……，标于需注释文字最后一字或标点的右上角；页下注释中以与正文中相同的注号引导注文。 </w:t>
      </w:r>
      <w:r w:rsidRPr="004F7ACF">
        <w:rPr>
          <w:rFonts w:ascii="Verdana" w:eastAsia="宋体" w:hAnsi="Verdana" w:cs="宋体"/>
          <w:color w:val="333333"/>
          <w:kern w:val="0"/>
          <w:sz w:val="20"/>
          <w:szCs w:val="20"/>
        </w:rPr>
        <w:br/>
      </w:r>
      <w:r w:rsidRPr="004F7ACF">
        <w:rPr>
          <w:rFonts w:ascii="宋体" w:eastAsia="宋体" w:hAnsi="宋体" w:cs="宋体" w:hint="eastAsia"/>
          <w:b/>
          <w:bCs/>
          <w:color w:val="333333"/>
          <w:kern w:val="0"/>
          <w:sz w:val="20"/>
        </w:rPr>
        <w:t>资料性注释的基本标注项目与顺序：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（1）著作：责任者：《题名》其他题名信息（如卷次、部类名、篇名），其他责任者（如译者），出版地：出版者，出版年，引文页码。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（2）著作（或文集）中的析出文献：析出文献责任者：《析出文献题名》，著作（或文集）责任者：《题名》其他题名信息，其他责任者，出版地：出版者，出版年，页码。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（3）连续出版物（期刊、报纸等）析出文献：责任者：《文章题名》，《连续出版物题名》其他题名信息，出版年、卷、期或出版日期，页码或版次。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4）外文文献：以该语种原文标注，并尊重原文种通行的引证标注方式。如英文文献的标注方式为：著作、著作中析出文献、连续出版物析出文献注项与顺序同中文，但须用英文标点，即责任者与题名间用英文逗号，著作题名为斜体，析出文献题名为正体加英文引号，出版日期为全数字标注，责任方式、卷册、页码等用英文缩略方式。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（5）未刊文献：包括学位论文、会议论文、未刊稿、书信、档案等书面文献。责任者：</w:t>
      </w:r>
      <w:r w:rsidRPr="004F7ACF">
        <w:rPr>
          <w:rFonts w:ascii="宋体" w:eastAsia="宋体" w:hAnsi="宋体" w:cs="宋体" w:hint="eastAsia"/>
          <w:color w:val="333333"/>
          <w:kern w:val="0"/>
          <w:sz w:val="20"/>
          <w:szCs w:val="20"/>
          <w:shd w:val="clear" w:color="auto" w:fill="FFFFFF"/>
        </w:rPr>
        <w:lastRenderedPageBreak/>
        <w:t>《题名》其他题名信息，文献属性，编号，收藏单位，创制年，页码。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（6）电子文献：责任者：《电子文献题名》其他题名信息，更新或修改日期，获取和访问路径，引用日期。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（7）再次引证时的项目简化：同一文献再次引证时只需标注责任者、题名、页码。 </w:t>
      </w:r>
      <w:r w:rsidRPr="004F7ACF">
        <w:rPr>
          <w:rFonts w:ascii="Verdana" w:eastAsia="宋体" w:hAnsi="Verdana" w:cs="宋体"/>
          <w:color w:val="333333"/>
          <w:kern w:val="0"/>
          <w:sz w:val="20"/>
          <w:szCs w:val="20"/>
        </w:rPr>
        <w:br/>
      </w:r>
      <w:r w:rsidRPr="004F7ACF">
        <w:rPr>
          <w:rFonts w:ascii="宋体" w:eastAsia="宋体" w:hAnsi="宋体" w:cs="宋体" w:hint="eastAsia"/>
          <w:b/>
          <w:bCs/>
          <w:color w:val="333333"/>
          <w:kern w:val="0"/>
          <w:sz w:val="20"/>
        </w:rPr>
        <w:t>示例：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①孔飞力：《叫魂》，陈兼、刘昶译，上海：上海三联书店，1999年，第207页。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②楼适夷：《读家书，想傅雷（代序）》，傅敏编：《傅雷家书》（增补本），北京：三联书店，1988年，第1页。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③欧阳兆熊、金安清：《水窗春呓》，谢兴尧点校，北京：中华书局，1984年，第5页。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④罗大经：《鹤林玉露》，《宋诗话全编》卷七，南京：江苏古籍出版社，1998年，第7637页。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⑤孙枝蔚：《登北固山》，《溉堂前集》卷五，康熙刻本。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⑥《广东通志》卷二四，《郡县志》十一，《广州府·人物》二，万历刻本。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⑦吴艳红：《明代流刑考》，《历史研究》2000年第6期，第34页。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⑧朱汉国：《民国时期社会结构的变动》，《光明日报》1997年6月17日，第4版。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⑨方明东：《罗隆基政治思想研究（1913-1949）》，博士学位论文，北京师范大学历史系，2000年，第67页。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⑩任东来：《对国际体制和国际制度的理解和翻译》，“全球化与亚太区域化国际研讨会”论文，天津，2000年6月，第9页。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11.《傅良佐致国务院电》（1917年9月15日），北洋档案1011-5961，中国第二历史档案馆藏。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12.Randolph Starn and Loren Partridge, </w:t>
      </w:r>
      <w:r w:rsidRPr="004F7ACF">
        <w:rPr>
          <w:rFonts w:ascii="宋体" w:eastAsia="宋体" w:hAnsi="宋体" w:cs="宋体" w:hint="eastAsia"/>
          <w:i/>
          <w:iCs/>
          <w:color w:val="2B2BD5"/>
          <w:kern w:val="0"/>
          <w:sz w:val="20"/>
          <w:szCs w:val="20"/>
          <w:shd w:val="clear" w:color="auto" w:fill="FFFFFF"/>
        </w:rPr>
        <w:t>The Arts of Power: Three Halls of State in Italy, 1300-1600 </w:t>
      </w:r>
      <w:r w:rsidRPr="004F7ACF">
        <w:rPr>
          <w:rFonts w:ascii="宋体" w:eastAsia="宋体" w:hAnsi="宋体" w:cs="宋体" w:hint="eastAsia"/>
          <w:color w:val="2B2BD5"/>
          <w:kern w:val="0"/>
          <w:sz w:val="20"/>
          <w:szCs w:val="20"/>
          <w:shd w:val="clear" w:color="auto" w:fill="FFFFFF"/>
        </w:rPr>
        <w:t>, Berkeley: University of California University, 1992, pp. 19-28.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13.R . S . Schfield, “The Impact of Scarcity and Plenty on Population Change in England,” in R. I.Rotberg and T. K. Rabb (eds.), </w:t>
      </w:r>
      <w:r w:rsidRPr="004F7ACF">
        <w:rPr>
          <w:rFonts w:ascii="宋体" w:eastAsia="宋体" w:hAnsi="宋体" w:cs="宋体" w:hint="eastAsia"/>
          <w:i/>
          <w:iCs/>
          <w:color w:val="2B2BD5"/>
          <w:kern w:val="0"/>
          <w:sz w:val="20"/>
          <w:szCs w:val="20"/>
          <w:shd w:val="clear" w:color="auto" w:fill="FFFFFF"/>
        </w:rPr>
        <w:t>Hunger and History: The Impact of Changing Food Production and Consumption Pattern on Societ ， </w:t>
      </w:r>
      <w:r w:rsidRPr="004F7ACF">
        <w:rPr>
          <w:rFonts w:ascii="宋体" w:eastAsia="宋体" w:hAnsi="宋体" w:cs="宋体" w:hint="eastAsia"/>
          <w:color w:val="2B2BD5"/>
          <w:kern w:val="0"/>
          <w:sz w:val="20"/>
          <w:szCs w:val="20"/>
          <w:shd w:val="clear" w:color="auto" w:fill="FFFFFF"/>
        </w:rPr>
        <w:t>Cambridge: Cambridge University Press, 1983, p. 79. </w:t>
      </w:r>
      <w:r w:rsidRPr="004F7ACF">
        <w:rPr>
          <w:rFonts w:ascii="Verdana" w:eastAsia="宋体" w:hAnsi="Verdana" w:cs="宋体"/>
          <w:color w:val="333333"/>
          <w:kern w:val="0"/>
          <w:sz w:val="20"/>
          <w:szCs w:val="20"/>
        </w:rPr>
        <w:br/>
      </w:r>
      <w:r w:rsidRPr="004F7ACF">
        <w:rPr>
          <w:rFonts w:ascii="宋体" w:eastAsia="宋体" w:hAnsi="宋体" w:cs="宋体" w:hint="eastAsia"/>
          <w:color w:val="2B2BD5"/>
          <w:kern w:val="0"/>
          <w:sz w:val="20"/>
          <w:szCs w:val="20"/>
          <w:shd w:val="clear" w:color="auto" w:fill="FFFFFF"/>
        </w:rPr>
        <w:t>    14.Heath B. Chamberlain, “On the Search for Civil Society in China”, </w:t>
      </w:r>
      <w:r w:rsidRPr="004F7ACF">
        <w:rPr>
          <w:rFonts w:ascii="宋体" w:eastAsia="宋体" w:hAnsi="宋体" w:cs="宋体" w:hint="eastAsia"/>
          <w:i/>
          <w:iCs/>
          <w:color w:val="2B2BD5"/>
          <w:kern w:val="0"/>
          <w:sz w:val="20"/>
          <w:szCs w:val="20"/>
          <w:shd w:val="clear" w:color="auto" w:fill="FFFFFF"/>
        </w:rPr>
        <w:t>Modern China </w:t>
      </w:r>
      <w:r w:rsidRPr="004F7ACF">
        <w:rPr>
          <w:rFonts w:ascii="宋体" w:eastAsia="宋体" w:hAnsi="宋体" w:cs="宋体" w:hint="eastAsia"/>
          <w:color w:val="2B2BD5"/>
          <w:kern w:val="0"/>
          <w:sz w:val="20"/>
          <w:szCs w:val="20"/>
          <w:shd w:val="clear" w:color="auto" w:fill="FFFFFF"/>
        </w:rPr>
        <w:t>, vol. 19, no. 2 (April 1993), pp. 199-215. </w:t>
      </w:r>
      <w:r w:rsidRPr="004F7ACF">
        <w:rPr>
          <w:rFonts w:ascii="Verdana" w:eastAsia="宋体" w:hAnsi="Verdana" w:cs="宋体"/>
          <w:color w:val="333333"/>
          <w:kern w:val="0"/>
          <w:sz w:val="20"/>
          <w:szCs w:val="20"/>
        </w:rPr>
        <w:br/>
      </w:r>
      <w:r w:rsidRPr="004F7ACF">
        <w:rPr>
          <w:rFonts w:ascii="宋体" w:eastAsia="宋体" w:hAnsi="宋体" w:cs="宋体" w:hint="eastAsia"/>
          <w:b/>
          <w:bCs/>
          <w:color w:val="333333"/>
          <w:kern w:val="0"/>
          <w:sz w:val="24"/>
          <w:szCs w:val="24"/>
        </w:rPr>
        <w:t>二、著者-出版年体例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“著者-出版年体例”由标注引文的“参考文献表”与“内容性注释”共同构成，分开编排。括注的作者、出版年排在正文中。参考文献详细信息（参考文献表）排在正文后。内容性注释于当页下部依次编排。 </w:t>
      </w:r>
      <w:r w:rsidRPr="004F7ACF">
        <w:rPr>
          <w:rFonts w:ascii="Verdana" w:eastAsia="宋体" w:hAnsi="Verdana" w:cs="宋体"/>
          <w:color w:val="333333"/>
          <w:kern w:val="0"/>
          <w:sz w:val="20"/>
          <w:szCs w:val="20"/>
        </w:rPr>
        <w:br/>
      </w:r>
      <w:r w:rsidRPr="004F7ACF">
        <w:rPr>
          <w:rFonts w:ascii="宋体" w:eastAsia="宋体" w:hAnsi="宋体" w:cs="宋体" w:hint="eastAsia"/>
          <w:color w:val="333333"/>
          <w:kern w:val="0"/>
          <w:sz w:val="20"/>
          <w:szCs w:val="20"/>
          <w:shd w:val="clear" w:color="auto" w:fill="FFFFFF"/>
        </w:rPr>
        <w:t>     （一） </w:t>
      </w:r>
      <w:r w:rsidRPr="004F7ACF">
        <w:rPr>
          <w:rFonts w:ascii="宋体" w:eastAsia="宋体" w:hAnsi="宋体" w:cs="宋体" w:hint="eastAsia"/>
          <w:b/>
          <w:bCs/>
          <w:color w:val="333333"/>
          <w:kern w:val="0"/>
          <w:sz w:val="20"/>
        </w:rPr>
        <w:t>正文中引文的标注内容与方式： </w:t>
      </w:r>
      <w:r w:rsidRPr="004F7ACF">
        <w:rPr>
          <w:rFonts w:ascii="宋体" w:eastAsia="宋体" w:hAnsi="宋体" w:cs="宋体" w:hint="eastAsia"/>
          <w:color w:val="333333"/>
          <w:kern w:val="0"/>
          <w:sz w:val="20"/>
          <w:szCs w:val="20"/>
          <w:shd w:val="clear" w:color="auto" w:fill="FFFFFF"/>
        </w:rPr>
        <w:t>在引文处括注引文著者姓名（如正文中有作者姓名这里可省去），出版年代，多次引用同一文献时可加页码。引证多篇文献用分号隔开。两位作者姓名之间用顿号隔开。引用同一个作者同一年的多篇论著时，在出版年代后加a,b,c等以示区别。外文著作的引用规则相同（著者只需标引姓氏）。 </w:t>
      </w:r>
      <w:r w:rsidRPr="004F7ACF">
        <w:rPr>
          <w:rFonts w:ascii="Verdana" w:eastAsia="宋体" w:hAnsi="Verdana" w:cs="宋体"/>
          <w:color w:val="333333"/>
          <w:kern w:val="0"/>
          <w:sz w:val="20"/>
          <w:szCs w:val="20"/>
        </w:rPr>
        <w:br/>
      </w:r>
      <w:r w:rsidRPr="004F7ACF">
        <w:rPr>
          <w:rFonts w:ascii="宋体" w:eastAsia="宋体" w:hAnsi="宋体" w:cs="宋体" w:hint="eastAsia"/>
          <w:b/>
          <w:bCs/>
          <w:color w:val="333333"/>
          <w:kern w:val="0"/>
          <w:sz w:val="20"/>
        </w:rPr>
        <w:t xml:space="preserve">　示例：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1．发展成熟的皇权官僚体制一直有效地行使着对城市的统辖职能，……而村落倒是无官员的自治地区。“可以毫不夸张地说，中国的治理史乃是……的历史”（韦伯，1993，第110页）。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    2．在不同的场合，韦伯从城市的社会结构与阶级对立、……等一系列方面对中世纪城市和古代城市进行了比较（韦伯，2005，第5章；2004a，第233-245、272-278页）。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    3．按照英国社会学家马歇尔（Marshall）的观点，自18世纪以来，这种与公民资格相联系的公民权利大体上经历了……的发展历程（1964）。有的学者甚至明确认为：西方社会民主</w:t>
      </w:r>
      <w:r w:rsidRPr="004F7ACF">
        <w:rPr>
          <w:rFonts w:ascii="宋体" w:eastAsia="宋体" w:hAnsi="宋体" w:cs="宋体" w:hint="eastAsia"/>
          <w:color w:val="2222DD"/>
          <w:kern w:val="0"/>
          <w:sz w:val="20"/>
          <w:szCs w:val="20"/>
          <w:shd w:val="clear" w:color="auto" w:fill="FFFFFF"/>
        </w:rPr>
        <w:lastRenderedPageBreak/>
        <w:t>政治制度的基础是市民社会，而中国社会的特点决定了民主政治发展的基础是乡村社会（唐兴霖、马骏，1999）。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    4．但无论是教会还是教派，和所有具有伦理取向的宗教一样，都“在一种末世论期待的影响下，一开始即带有卡里斯玛式的拒斥现世的烙印”（韦伯，2004b，第403页）。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    5．正是由于这两个前提的存在，……才不仅仅只是理性资本主义精神的促进力量，同时也是“促成现代公民权出现的构成性力量”（Turner，2002，p.264）。 </w:t>
      </w:r>
      <w:r w:rsidRPr="004F7ACF">
        <w:rPr>
          <w:rFonts w:ascii="Verdana" w:eastAsia="宋体" w:hAnsi="Verdana" w:cs="宋体"/>
          <w:color w:val="333333"/>
          <w:kern w:val="0"/>
          <w:sz w:val="20"/>
          <w:szCs w:val="20"/>
        </w:rPr>
        <w:br/>
      </w:r>
      <w:r w:rsidRPr="004F7ACF">
        <w:rPr>
          <w:rFonts w:ascii="宋体" w:eastAsia="宋体" w:hAnsi="宋体" w:cs="宋体" w:hint="eastAsia"/>
          <w:color w:val="2222DD"/>
          <w:kern w:val="0"/>
          <w:sz w:val="20"/>
          <w:szCs w:val="20"/>
          <w:shd w:val="clear" w:color="auto" w:fill="FFFFFF"/>
        </w:rPr>
        <w:t>    6．即使到今天，自由主义、共和主义、社群主义以及激进民主理论等不同的理论取向对于这一概念的理解也依然各不相同（Isin &amp; Turner，2002, pp.131-188）。 </w:t>
      </w:r>
      <w:r w:rsidRPr="004F7ACF">
        <w:rPr>
          <w:rFonts w:ascii="Verdana" w:eastAsia="宋体" w:hAnsi="Verdana" w:cs="宋体"/>
          <w:color w:val="333333"/>
          <w:kern w:val="0"/>
          <w:sz w:val="20"/>
          <w:szCs w:val="20"/>
        </w:rPr>
        <w:br/>
      </w:r>
      <w:r w:rsidRPr="004F7ACF">
        <w:rPr>
          <w:rFonts w:ascii="宋体" w:eastAsia="宋体" w:hAnsi="宋体" w:cs="宋体" w:hint="eastAsia"/>
          <w:b/>
          <w:bCs/>
          <w:color w:val="333333"/>
          <w:kern w:val="0"/>
          <w:sz w:val="20"/>
        </w:rPr>
        <w:t>    （二）正文后参考文献表标注项目及顺序： </w:t>
      </w:r>
      <w:r w:rsidRPr="004F7ACF">
        <w:rPr>
          <w:rFonts w:ascii="宋体" w:eastAsia="宋体" w:hAnsi="宋体" w:cs="宋体" w:hint="eastAsia"/>
          <w:color w:val="333333"/>
          <w:kern w:val="0"/>
          <w:sz w:val="20"/>
          <w:szCs w:val="20"/>
          <w:shd w:val="clear" w:color="auto" w:fill="FFFFFF"/>
        </w:rPr>
        <w:t>各类参考文献除将“出版年”置于责任者与题名之间外，均与“注释体例”中“资料性注释”相同。 </w:t>
      </w:r>
      <w:r w:rsidRPr="004F7ACF">
        <w:rPr>
          <w:rFonts w:ascii="宋体" w:eastAsia="宋体" w:hAnsi="宋体" w:cs="宋体" w:hint="eastAsia"/>
          <w:b/>
          <w:bCs/>
          <w:color w:val="333333"/>
          <w:kern w:val="0"/>
          <w:sz w:val="20"/>
        </w:rPr>
        <w:t>各条文献排列顺序： </w:t>
      </w:r>
      <w:r w:rsidRPr="004F7ACF">
        <w:rPr>
          <w:rFonts w:ascii="宋体" w:eastAsia="宋体" w:hAnsi="宋体" w:cs="宋体" w:hint="eastAsia"/>
          <w:color w:val="333333"/>
          <w:kern w:val="0"/>
          <w:sz w:val="20"/>
          <w:szCs w:val="20"/>
          <w:shd w:val="clear" w:color="auto" w:fill="FFFFFF"/>
        </w:rPr>
        <w:t>首先按文种排列，先中文后外文文献；其次按著者姓氏字顺排列，中文（及译本）署名按照作者姓氏汉语拼音字母音序排列，外文文献按照作者姓氏的字母顺序排列。同一著者再按出版年先后排列。</w:t>
      </w:r>
    </w:p>
    <w:sectPr w:rsidR="00B57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52" w:rsidRDefault="00B57D52" w:rsidP="004F7ACF">
      <w:r>
        <w:separator/>
      </w:r>
    </w:p>
  </w:endnote>
  <w:endnote w:type="continuationSeparator" w:id="1">
    <w:p w:rsidR="00B57D52" w:rsidRDefault="00B57D52" w:rsidP="004F7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52" w:rsidRDefault="00B57D52" w:rsidP="004F7ACF">
      <w:r>
        <w:separator/>
      </w:r>
    </w:p>
  </w:footnote>
  <w:footnote w:type="continuationSeparator" w:id="1">
    <w:p w:rsidR="00B57D52" w:rsidRDefault="00B57D52" w:rsidP="004F7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ACF"/>
    <w:rsid w:val="004F7ACF"/>
    <w:rsid w:val="00B57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ACF"/>
    <w:rPr>
      <w:sz w:val="18"/>
      <w:szCs w:val="18"/>
    </w:rPr>
  </w:style>
  <w:style w:type="paragraph" w:styleId="a4">
    <w:name w:val="footer"/>
    <w:basedOn w:val="a"/>
    <w:link w:val="Char0"/>
    <w:uiPriority w:val="99"/>
    <w:semiHidden/>
    <w:unhideWhenUsed/>
    <w:rsid w:val="004F7A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ACF"/>
    <w:rPr>
      <w:sz w:val="18"/>
      <w:szCs w:val="18"/>
    </w:rPr>
  </w:style>
  <w:style w:type="character" w:styleId="a5">
    <w:name w:val="Strong"/>
    <w:basedOn w:val="a0"/>
    <w:uiPriority w:val="22"/>
    <w:qFormat/>
    <w:rsid w:val="004F7ACF"/>
    <w:rPr>
      <w:b/>
      <w:bCs/>
    </w:rPr>
  </w:style>
</w:styles>
</file>

<file path=word/webSettings.xml><?xml version="1.0" encoding="utf-8"?>
<w:webSettings xmlns:r="http://schemas.openxmlformats.org/officeDocument/2006/relationships" xmlns:w="http://schemas.openxmlformats.org/wordprocessingml/2006/main">
  <w:divs>
    <w:div w:id="8352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3148</Characters>
  <Application>Microsoft Office Word</Application>
  <DocSecurity>0</DocSecurity>
  <Lines>26</Lines>
  <Paragraphs>7</Paragraphs>
  <ScaleCrop>false</ScaleCrop>
  <Company>Win10NeT.COM</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2</cp:revision>
  <dcterms:created xsi:type="dcterms:W3CDTF">2018-01-08T07:52:00Z</dcterms:created>
  <dcterms:modified xsi:type="dcterms:W3CDTF">2018-01-08T07:53:00Z</dcterms:modified>
</cp:coreProperties>
</file>